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9"/>
        <w:gridCol w:w="1039"/>
        <w:gridCol w:w="717"/>
        <w:gridCol w:w="937"/>
        <w:gridCol w:w="717"/>
        <w:gridCol w:w="1133"/>
        <w:gridCol w:w="2298"/>
      </w:tblGrid>
      <w:tr w:rsidR="00853145" w:rsidRPr="00853145" w:rsidTr="00853145">
        <w:trPr>
          <w:trHeight w:val="2758"/>
        </w:trPr>
        <w:tc>
          <w:tcPr>
            <w:tcW w:w="1227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 w:rsidP="00853145">
            <w:r w:rsidRPr="00853145">
              <w:t>Одобрен постановлением</w:t>
            </w:r>
          </w:p>
          <w:p w:rsidR="00853145" w:rsidRPr="00853145" w:rsidRDefault="00853145" w:rsidP="00853145">
            <w:r w:rsidRPr="00853145">
              <w:t>администрации Заречного</w:t>
            </w:r>
          </w:p>
          <w:p w:rsidR="00853145" w:rsidRPr="00853145" w:rsidRDefault="00853145" w:rsidP="00853145">
            <w:r w:rsidRPr="00853145">
              <w:t xml:space="preserve">муниципального образования </w:t>
            </w:r>
          </w:p>
          <w:p w:rsidR="00853145" w:rsidRPr="00853145" w:rsidRDefault="00853145" w:rsidP="00853145">
            <w:r w:rsidRPr="00853145">
              <w:t>"Нижнеудинский район"</w:t>
            </w:r>
          </w:p>
          <w:p w:rsidR="00853145" w:rsidRPr="00853145" w:rsidRDefault="00853145" w:rsidP="00853145">
            <w:r w:rsidRPr="00853145">
              <w:t xml:space="preserve">___________________ 2018г. №                </w:t>
            </w:r>
          </w:p>
        </w:tc>
      </w:tr>
      <w:tr w:rsidR="00853145" w:rsidRPr="00853145" w:rsidTr="00853145">
        <w:trPr>
          <w:trHeight w:val="1020"/>
        </w:trPr>
        <w:tc>
          <w:tcPr>
            <w:tcW w:w="14570" w:type="dxa"/>
            <w:gridSpan w:val="7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Проект Прогноза социально-экономического развития Заречного муниципального образования  на 2019-2030 гг.</w:t>
            </w:r>
          </w:p>
        </w:tc>
      </w:tr>
      <w:tr w:rsidR="00853145" w:rsidRPr="00853145" w:rsidTr="00853145">
        <w:trPr>
          <w:trHeight w:val="28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9" w:type="dxa"/>
            <w:hideMark/>
          </w:tcPr>
          <w:p w:rsidR="00853145" w:rsidRPr="00853145" w:rsidRDefault="00853145" w:rsidP="00853145"/>
        </w:tc>
        <w:tc>
          <w:tcPr>
            <w:tcW w:w="717" w:type="dxa"/>
            <w:hideMark/>
          </w:tcPr>
          <w:p w:rsidR="00853145" w:rsidRPr="00853145" w:rsidRDefault="00853145" w:rsidP="00853145"/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133" w:type="dxa"/>
            <w:hideMark/>
          </w:tcPr>
          <w:p w:rsidR="00853145" w:rsidRPr="00853145" w:rsidRDefault="00853145" w:rsidP="00853145"/>
        </w:tc>
        <w:tc>
          <w:tcPr>
            <w:tcW w:w="2298" w:type="dxa"/>
            <w:hideMark/>
          </w:tcPr>
          <w:p w:rsidR="00853145" w:rsidRPr="00853145" w:rsidRDefault="00853145" w:rsidP="00853145"/>
        </w:tc>
      </w:tr>
      <w:tr w:rsidR="00853145" w:rsidRPr="00853145" w:rsidTr="00853145">
        <w:trPr>
          <w:trHeight w:val="735"/>
        </w:trPr>
        <w:tc>
          <w:tcPr>
            <w:tcW w:w="7729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vMerge w:val="restart"/>
            <w:noWrap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2017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Оценка </w:t>
            </w:r>
            <w:r w:rsidRPr="00853145">
              <w:rPr>
                <w:b/>
                <w:bCs/>
              </w:rPr>
              <w:br/>
              <w:t>2018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148" w:type="dxa"/>
            <w:gridSpan w:val="3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Прогноз на:</w:t>
            </w:r>
          </w:p>
        </w:tc>
      </w:tr>
      <w:tr w:rsidR="00853145" w:rsidRPr="00853145" w:rsidTr="00853145">
        <w:trPr>
          <w:trHeight w:val="1128"/>
        </w:trPr>
        <w:tc>
          <w:tcPr>
            <w:tcW w:w="7729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9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2019 год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2020год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2021год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</w:t>
            </w:r>
            <w:proofErr w:type="spellStart"/>
            <w:r w:rsidRPr="00853145">
              <w:rPr>
                <w:i/>
                <w:iCs/>
              </w:rPr>
              <w:t>т.ч</w:t>
            </w:r>
            <w:proofErr w:type="spellEnd"/>
            <w:r w:rsidRPr="00853145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81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117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88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117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112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853145">
              <w:rPr>
                <w:b/>
                <w:bCs/>
                <w:u w:val="single"/>
              </w:rPr>
              <w:t>рыбаловство</w:t>
            </w:r>
            <w:proofErr w:type="spellEnd"/>
            <w:r w:rsidRPr="00853145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кв. 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тыс.т</w:t>
            </w:r>
            <w:proofErr w:type="spellEnd"/>
            <w:r w:rsidRPr="00853145">
              <w:t>/км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пас/км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7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717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133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2298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40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12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малого бизнеса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 в выручке  в целом по МО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Число действующих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49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38,80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r w:rsidRPr="00853145">
              <w:t>32,40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r w:rsidRPr="00853145">
              <w:t>32,40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r w:rsidRPr="00853145">
              <w:t>38,10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r w:rsidRPr="00853145">
              <w:t>40,00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8,200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8,900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9,600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0,900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lastRenderedPageBreak/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0,100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1,000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3,600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0,500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2,800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3,500</w:t>
            </w:r>
          </w:p>
        </w:tc>
      </w:tr>
      <w:tr w:rsidR="00853145" w:rsidRPr="00853145" w:rsidTr="00853145">
        <w:trPr>
          <w:trHeight w:val="109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1,2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112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)-всего,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 w:rsidP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 w:rsidP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lastRenderedPageBreak/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480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12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 w:rsidP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3,6</w:t>
            </w:r>
          </w:p>
        </w:tc>
      </w:tr>
      <w:tr w:rsidR="00853145" w:rsidRPr="00853145" w:rsidTr="00853145">
        <w:trPr>
          <w:trHeight w:val="117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21 433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22 583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23 493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24 254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25 239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13 239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14 431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15 167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15 955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16 977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24 144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26 318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27 660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29 098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30 960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25 000</w:t>
            </w:r>
          </w:p>
        </w:tc>
      </w:tr>
      <w:tr w:rsidR="00853145" w:rsidRPr="00853145" w:rsidTr="00853145">
        <w:trPr>
          <w:trHeight w:val="1178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25 116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27 377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28 773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30 269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32 206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категориям работников: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r w:rsidRPr="00853145">
              <w:lastRenderedPageBreak/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26 931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29 355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30 852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32 456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34 533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120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85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853145">
        <w:trPr>
          <w:trHeight w:val="75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853145">
        <w:trPr>
          <w:trHeight w:val="39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73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853145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853145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Доходный потенциал </w:t>
            </w:r>
            <w:proofErr w:type="spellStart"/>
            <w:r w:rsidRPr="00853145">
              <w:rPr>
                <w:b/>
                <w:bCs/>
              </w:rPr>
              <w:t>территориии</w:t>
            </w:r>
            <w:proofErr w:type="spellEnd"/>
          </w:p>
        </w:tc>
        <w:tc>
          <w:tcPr>
            <w:tcW w:w="1039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853145">
        <w:trPr>
          <w:trHeight w:val="780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174,3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174,3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79,8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79,8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82,5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82,5</w:t>
            </w:r>
          </w:p>
        </w:tc>
      </w:tr>
      <w:tr w:rsidR="00853145" w:rsidRPr="00853145" w:rsidTr="00853145">
        <w:trPr>
          <w:trHeight w:val="630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12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12</w:t>
            </w:r>
          </w:p>
        </w:tc>
      </w:tr>
      <w:tr w:rsidR="00853145" w:rsidRPr="00853145" w:rsidTr="00853145">
        <w:trPr>
          <w:trHeight w:val="732"/>
        </w:trPr>
        <w:tc>
          <w:tcPr>
            <w:tcW w:w="7729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9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717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1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2298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375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675"/>
        </w:trPr>
        <w:tc>
          <w:tcPr>
            <w:tcW w:w="7729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717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255"/>
        </w:trPr>
        <w:tc>
          <w:tcPr>
            <w:tcW w:w="1457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369"/>
        </w:trPr>
        <w:tc>
          <w:tcPr>
            <w:tcW w:w="1457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853145" w:rsidRPr="00853145" w:rsidRDefault="00853145">
            <w:r w:rsidRPr="00853145">
              <w:t>Глава Заречного муниципального образования</w:t>
            </w:r>
          </w:p>
          <w:p w:rsidR="00853145" w:rsidRPr="00853145" w:rsidRDefault="00853145">
            <w:r w:rsidRPr="00853145">
              <w:t> </w:t>
            </w:r>
          </w:p>
          <w:p w:rsidR="00853145" w:rsidRPr="00853145" w:rsidRDefault="00853145">
            <w:r w:rsidRPr="00853145">
              <w:t>А.И. Романенко</w:t>
            </w:r>
          </w:p>
          <w:p w:rsidR="00853145" w:rsidRPr="00853145" w:rsidRDefault="00853145" w:rsidP="005E739D">
            <w:r w:rsidRPr="00853145">
              <w:t> </w:t>
            </w:r>
          </w:p>
        </w:tc>
      </w:tr>
    </w:tbl>
    <w:p w:rsidR="00D242CC" w:rsidRDefault="00D242CC">
      <w:bookmarkStart w:id="0" w:name="_GoBack"/>
      <w:bookmarkEnd w:id="0"/>
    </w:p>
    <w:sectPr w:rsidR="00D242CC" w:rsidSect="00853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FC"/>
    <w:rsid w:val="00853145"/>
    <w:rsid w:val="00C106FC"/>
    <w:rsid w:val="00D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E654"/>
  <w15:chartTrackingRefBased/>
  <w15:docId w15:val="{16577C6C-B6C2-42CD-87F9-F0FD0B35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0A49E-D72F-4C3A-8EE9-51120729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2018-11-29T08:06:00Z</dcterms:created>
  <dcterms:modified xsi:type="dcterms:W3CDTF">2018-11-29T08:11:00Z</dcterms:modified>
</cp:coreProperties>
</file>